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916" w:type="dxa"/>
        <w:jc w:val="left"/>
        <w:tblInd w:w="0" w:type="dxa"/>
        <w:tblLayout w:type="fixed"/>
        <w:tblCellMar>
          <w:top w:w="28" w:type="dxa"/>
          <w:left w:w="28" w:type="dxa"/>
          <w:bottom w:w="28" w:type="dxa"/>
          <w:right w:w="28" w:type="dxa"/>
        </w:tblCellMar>
      </w:tblPr>
      <w:tblGrid>
        <w:gridCol w:w="6916"/>
      </w:tblGrid>
      <w:tr>
        <w:trPr/>
        <w:tc>
          <w:tcPr>
            <w:tcW w:w="691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91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916" w:type="dxa"/>
            <w:tcBorders/>
            <w:vAlign w:val="center"/>
          </w:tcPr>
          <w:p>
            <w:pPr>
              <w:pStyle w:val="TableContents"/>
              <w:bidi w:val="0"/>
              <w:spacing w:before="0" w:after="0"/>
              <w:jc w:val="left"/>
              <w:rPr/>
            </w:pPr>
            <w:r>
              <w:rPr/>
              <w:t xml:space="preserve">UNDER THE SECURITIES EXCHANGE ACT OF 1934 </w:t>
            </w:r>
          </w:p>
        </w:tc>
      </w:tr>
      <w:tr>
        <w:trPr/>
        <w:tc>
          <w:tcPr>
            <w:tcW w:w="6916" w:type="dxa"/>
            <w:tcBorders/>
            <w:vAlign w:val="center"/>
          </w:tcPr>
          <w:p>
            <w:pPr>
              <w:pStyle w:val="TableContents"/>
              <w:bidi w:val="0"/>
              <w:spacing w:before="0" w:after="283"/>
              <w:jc w:val="left"/>
              <w:rPr>
                <w:sz w:val="4"/>
                <w:szCs w:val="4"/>
              </w:rPr>
            </w:pPr>
            <w:r>
              <w:rPr>
                <w:sz w:val="4"/>
                <w:szCs w:val="4"/>
              </w:rPr>
            </w:r>
          </w:p>
        </w:tc>
      </w:tr>
      <w:tr>
        <w:trPr/>
        <w:tc>
          <w:tcPr>
            <w:tcW w:w="6916" w:type="dxa"/>
            <w:tcBorders/>
            <w:vAlign w:val="center"/>
          </w:tcPr>
          <w:p>
            <w:pPr>
              <w:pStyle w:val="TableContents"/>
              <w:bidi w:val="0"/>
              <w:spacing w:before="0" w:after="0"/>
              <w:jc w:val="center"/>
              <w:rPr>
                <w:b/>
                <w:color w:val="0000FF"/>
              </w:rPr>
            </w:pPr>
            <w:r>
              <w:rPr>
                <w:b/>
                <w:color w:val="0000FF"/>
              </w:rPr>
              <w:t>AgomAb Therapeutics NV</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916" w:type="dxa"/>
            <w:tcBorders/>
            <w:vAlign w:val="center"/>
          </w:tcPr>
          <w:p>
            <w:pPr>
              <w:pStyle w:val="TableContents"/>
              <w:bidi w:val="0"/>
              <w:spacing w:before="0" w:after="0"/>
              <w:jc w:val="center"/>
              <w:rPr>
                <w:b/>
                <w:color w:val="0000FF"/>
              </w:rPr>
            </w:pPr>
            <w:r>
              <w:rPr>
                <w:b/>
                <w:color w:val="0000FF"/>
              </w:rPr>
              <w:t>Common Shares, no nominal value per share ("Common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91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91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SANOFI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2,783,096.00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2,783,096.00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2,783,096.00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AgomAb Therapeutics NV</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POSTHOFLEI 1/6, ANTWERPEN, Belgium, 2600</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Sanofi</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46, avenue de la Grande Armee, 75017 Paris, France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The Republic of France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nominal value per share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There is no CUSIP number assigned to the Common Shares. CUSIP number 00860C102 has been assigned to the American Depositary Shares (ADSs) of the Issuer. Each ADS represents one Common Share. Sanofi directly holds 2,708,096 Common Shares and 75,000 ADSs, representing 75,000 Common Shares.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5.71%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2,783,096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2,783,096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Sanofi Foreign Participations B.V. 2,783,096 shares 5.71% *The shares are held of record by Sanofi Foreign Participations B.V., the reporting person's indirect, wholly owned subsidiaries.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The response of the Reporting Person to Item 6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332" w:type="dxa"/>
        <w:jc w:val="left"/>
        <w:tblInd w:w="0" w:type="dxa"/>
        <w:tblLayout w:type="fixed"/>
        <w:tblCellMar>
          <w:top w:w="28" w:type="dxa"/>
          <w:left w:w="28" w:type="dxa"/>
          <w:bottom w:w="28" w:type="dxa"/>
          <w:right w:w="28" w:type="dxa"/>
        </w:tblCellMar>
      </w:tblPr>
      <w:tblGrid>
        <w:gridCol w:w="1166"/>
        <w:gridCol w:w="1166"/>
      </w:tblGrid>
      <w:tr>
        <w:trPr/>
        <w:tc>
          <w:tcPr>
            <w:tcW w:w="1166" w:type="dxa"/>
            <w:tcBorders/>
            <w:vAlign w:val="center"/>
          </w:tcPr>
          <w:p>
            <w:pPr>
              <w:pStyle w:val="TableContents"/>
              <w:bidi w:val="0"/>
              <w:spacing w:before="0" w:after="0"/>
              <w:jc w:val="left"/>
              <w:rPr/>
            </w:pPr>
            <w:r>
              <w:rPr/>
              <w:t> </w:t>
            </w:r>
          </w:p>
          <w:tbl>
            <w:tblPr>
              <w:tblW w:w="1051" w:type="dxa"/>
              <w:jc w:val="left"/>
              <w:tblInd w:w="0" w:type="dxa"/>
              <w:tblLayout w:type="fixed"/>
              <w:tblCellMar>
                <w:top w:w="28" w:type="dxa"/>
                <w:left w:w="28" w:type="dxa"/>
                <w:bottom w:w="28" w:type="dxa"/>
                <w:right w:w="28" w:type="dxa"/>
              </w:tblCellMar>
            </w:tblPr>
            <w:tblGrid>
              <w:gridCol w:w="1051"/>
            </w:tblGrid>
            <w:tr>
              <w:trPr/>
              <w:tc>
                <w:tcPr>
                  <w:tcW w:w="1051" w:type="dxa"/>
                  <w:tcBorders/>
                  <w:vAlign w:val="center"/>
                </w:tcPr>
                <w:p>
                  <w:pPr>
                    <w:pStyle w:val="TableContents"/>
                    <w:bidi w:val="0"/>
                    <w:spacing w:before="0" w:after="0"/>
                    <w:jc w:val="left"/>
                    <w:rPr/>
                  </w:pPr>
                  <w:r>
                    <w:rPr/>
                    <w:t>SANOFI</w:t>
                  </w:r>
                </w:p>
              </w:tc>
            </w:tr>
          </w:tbl>
          <w:p>
            <w:pPr>
              <w:pStyle w:val="TableContents"/>
              <w:bidi w:val="0"/>
              <w:spacing w:before="0" w:after="283"/>
              <w:jc w:val="left"/>
              <w:rPr/>
            </w:pPr>
            <w:r>
              <w:rPr/>
            </w:r>
          </w:p>
        </w:tc>
        <w:tc>
          <w:tcPr>
            <w:tcW w:w="1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Alexandra Roger*</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Head of Legal Corporate &amp; Finance</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05/06/2025</w:t>
                  </w:r>
                </w:p>
              </w:tc>
            </w:tr>
          </w:tbl>
          <w:p>
            <w:pPr>
              <w:pStyle w:val="TableContents"/>
              <w:bidi w:val="0"/>
              <w:spacing w:before="0" w:after="283"/>
              <w:jc w:val="left"/>
              <w:rPr/>
            </w:pPr>
            <w:r>
              <w:rPr/>
            </w:r>
          </w:p>
        </w:tc>
        <w:tc>
          <w:tcPr>
            <w:tcW w:w="432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*Alexandra Roger is signing on behalf of Sanofi by power of attorney previously filed with the Securities and Exchange Commission on February 3, 2016 as Exhibit 24 to Form 4, and hereby incorporated by reference herein.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912</Words>
  <Characters>4789</Characters>
  <CharactersWithSpaces>5691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