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4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42940"/>
                    </a:xfrm>
                    <a:prstGeom prst="rect">
                      <a:avLst/>
                    </a:prstGeom>
                    <a:noFill/>
                  </pic:spPr>
                </pic:pic>
              </a:graphicData>
            </a:graphic>
          </wp:anchor>
        </w:drawing>
      </w:r>
    </w:p>
    <w:p>
      <w:pPr>
        <w:sectPr>
          <w:pgSz w:w="11900" w:h="16838" w:orient="portrait"/>
          <w:cols w:equalWidth="0" w:num="1">
            <w:col w:w="10940"/>
          </w:cols>
          <w:pgMar w:left="480" w:top="230" w:right="479" w:bottom="26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Lefever Ellen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Agomab Therapeutics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AGMB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265"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jc w:val="center"/>
              <w:ind w:right="94"/>
              <w:spacing w:after="0"/>
              <w:rPr>
                <w:sz w:val="20"/>
                <w:szCs w:val="20"/>
                <w:color w:val="auto"/>
              </w:rPr>
            </w:pPr>
            <w:r>
              <w:rPr>
                <w:rFonts w:ascii="Arial" w:cs="Arial" w:eastAsia="Arial" w:hAnsi="Arial"/>
                <w:sz w:val="15"/>
                <w:szCs w:val="15"/>
                <w:color w:val="auto"/>
                <w:w w:val="99"/>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AGOMAB THERAPEUTICS NV</w:t>
            </w:r>
          </w:p>
        </w:tc>
      </w:tr>
      <w:tr>
        <w:trPr>
          <w:trHeight w:val="30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POSTHOFLEI 1/6</w:t>
            </w:r>
          </w:p>
        </w:tc>
        <w:tc>
          <w:tcPr>
            <w:tcW w:w="128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ANTWERPEN C9</w:t>
            </w: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20"/>
                <w:szCs w:val="20"/>
                <w:color w:val="0000FF"/>
              </w:rPr>
              <w:t>2600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903"/>
        <w:spacing w:after="0"/>
        <w:rPr>
          <w:sz w:val="20"/>
          <w:szCs w:val="20"/>
          <w:color w:val="auto"/>
        </w:rPr>
      </w:pPr>
      <w:r>
        <w:rPr>
          <w:rFonts w:ascii="Times New Roman" w:cs="Times New Roman" w:eastAsia="Times New Roman" w:hAnsi="Times New Roman"/>
          <w:sz w:val="20"/>
          <w:szCs w:val="20"/>
          <w:color w:val="0000FF"/>
        </w:rPr>
        <w:t>General Counsel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26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03/05/2031</w:t>
            </w:r>
          </w:p>
        </w:tc>
        <w:tc>
          <w:tcPr>
            <w:tcW w:w="17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Common shares</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91,256</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2.76</w:t>
            </w:r>
            <w:r>
              <w:rPr>
                <w:rFonts w:ascii="Times New Roman" w:cs="Times New Roman" w:eastAsia="Times New Roman" w:hAnsi="Times New Roman"/>
                <w:sz w:val="25"/>
                <w:szCs w:val="25"/>
                <w:color w:val="008000"/>
                <w:w w:val="88"/>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06/28/2032</w:t>
            </w:r>
          </w:p>
        </w:tc>
        <w:tc>
          <w:tcPr>
            <w:tcW w:w="17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Common shares</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48,009</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2.76</w:t>
            </w:r>
            <w:r>
              <w:rPr>
                <w:rFonts w:ascii="Times New Roman" w:cs="Times New Roman" w:eastAsia="Times New Roman" w:hAnsi="Times New Roman"/>
                <w:sz w:val="25"/>
                <w:szCs w:val="25"/>
                <w:color w:val="008000"/>
                <w:w w:val="88"/>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10/10/2033</w:t>
            </w:r>
          </w:p>
        </w:tc>
        <w:tc>
          <w:tcPr>
            <w:tcW w:w="17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Common shares</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54,113</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2.76</w:t>
            </w:r>
            <w:r>
              <w:rPr>
                <w:rFonts w:ascii="Times New Roman" w:cs="Times New Roman" w:eastAsia="Times New Roman" w:hAnsi="Times New Roman"/>
                <w:sz w:val="25"/>
                <w:szCs w:val="25"/>
                <w:color w:val="008000"/>
                <w:w w:val="88"/>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07/08/2034</w:t>
            </w:r>
          </w:p>
        </w:tc>
        <w:tc>
          <w:tcPr>
            <w:tcW w:w="17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Common shares</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20"/>
                <w:szCs w:val="20"/>
                <w:color w:val="0000FF"/>
                <w:w w:val="97"/>
              </w:rPr>
              <w:t>3,832</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2.76</w:t>
            </w:r>
            <w:r>
              <w:rPr>
                <w:rFonts w:ascii="Times New Roman" w:cs="Times New Roman" w:eastAsia="Times New Roman" w:hAnsi="Times New Roman"/>
                <w:sz w:val="25"/>
                <w:szCs w:val="25"/>
                <w:color w:val="008000"/>
                <w:w w:val="88"/>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11/04/2034</w:t>
            </w:r>
          </w:p>
        </w:tc>
        <w:tc>
          <w:tcPr>
            <w:tcW w:w="17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Common shares</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132,122</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3.18</w:t>
            </w:r>
            <w:r>
              <w:rPr>
                <w:rFonts w:ascii="Times New Roman" w:cs="Times New Roman" w:eastAsia="Times New Roman" w:hAnsi="Times New Roman"/>
                <w:sz w:val="25"/>
                <w:szCs w:val="25"/>
                <w:color w:val="008000"/>
                <w:w w:val="88"/>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01/15/2036</w:t>
            </w:r>
          </w:p>
        </w:tc>
        <w:tc>
          <w:tcPr>
            <w:tcW w:w="17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Common shares</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127,972</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14.26</w:t>
            </w:r>
            <w:r>
              <w:rPr>
                <w:rFonts w:ascii="Times New Roman" w:cs="Times New Roman" w:eastAsia="Times New Roman" w:hAnsi="Times New Roman"/>
                <w:sz w:val="25"/>
                <w:szCs w:val="25"/>
                <w:color w:val="008000"/>
                <w:w w:val="89"/>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are fully vested and exercisable.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common shares may be represented by American Depositary Shares, each of which currently represents one common share.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prices are reported in U.S. dollars and reflect the conversion from EUR to USD at an exchange rate of $1.1478 per EUR 1.00 as of March 16, 2026.</w:t>
      </w:r>
    </w:p>
    <w:p>
      <w:pPr>
        <w:spacing w:after="0" w:line="52" w:lineRule="exact"/>
        <w:rPr>
          <w:rFonts w:ascii="Times New Roman" w:cs="Times New Roman" w:eastAsia="Times New Roman" w:hAnsi="Times New Roman"/>
          <w:sz w:val="15"/>
          <w:szCs w:val="15"/>
          <w:color w:val="008000"/>
        </w:rPr>
      </w:pPr>
    </w:p>
    <w:p>
      <w:pPr>
        <w:ind w:left="40" w:right="2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50% of the shares underlying this option vested on February 9, 2026, with the remainder vesting in twenty-four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2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option shall vest on February 9, 2027, with the remainder vesting in thirty-six equal monthly installments thereafter, subject to the Reporting Person's continued service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Ellen Lefever</w:t>
            </w:r>
          </w:p>
        </w:tc>
        <w:tc>
          <w:tcPr>
            <w:tcW w:w="8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26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the Chief Executive Officer and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Financial Officer with full power to act as the undersigned’s true and lawful attorneys-in-fact, with full power of substitution, to:</w:t>
      </w:r>
    </w:p>
    <w:p>
      <w:pPr>
        <w:spacing w:after="0" w:line="230" w:lineRule="exact"/>
        <w:rPr>
          <w:sz w:val="20"/>
          <w:szCs w:val="20"/>
          <w:color w:val="auto"/>
        </w:rPr>
      </w:pPr>
    </w:p>
    <w:p>
      <w:pPr>
        <w:jc w:val="both"/>
        <w:ind w:left="720" w:hanging="360"/>
        <w:spacing w:after="0" w:line="26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and/or beneficial owner of AgomAb Therapeutics NV (the “Company”), the Forms 3, 4 and 5 in accordance with Section 16(a) of the Securities Exchange Act of 1934, as amended, and the rules thereunder;</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3, 4 and 5, complete and execute any amendment or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0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revoked by the undersigned in a signed writing delivered to the attorney-in-fact.</w:t>
      </w:r>
    </w:p>
    <w:p>
      <w:pPr>
        <w:spacing w:after="0" w:line="184"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13</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of February,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2026.</w:t>
      </w:r>
    </w:p>
    <w:p>
      <w:pPr>
        <w:spacing w:after="0" w:line="200" w:lineRule="exact"/>
        <w:rPr>
          <w:sz w:val="20"/>
          <w:szCs w:val="20"/>
          <w:color w:val="auto"/>
        </w:rPr>
      </w:pPr>
    </w:p>
    <w:p>
      <w:pPr>
        <w:spacing w:after="0" w:line="261" w:lineRule="exact"/>
        <w:rPr>
          <w:sz w:val="20"/>
          <w:szCs w:val="20"/>
          <w:color w:val="auto"/>
        </w:rPr>
      </w:pPr>
    </w:p>
    <w:p>
      <w:pPr>
        <w:ind w:left="5480"/>
        <w:spacing w:after="0"/>
        <w:tabs>
          <w:tab w:leader="none" w:pos="6000" w:val="left"/>
        </w:tabs>
        <w:rPr>
          <w:sz w:val="20"/>
          <w:szCs w:val="20"/>
          <w:color w:val="auto"/>
        </w:rPr>
      </w:pPr>
      <w:r>
        <w:rPr>
          <w:rFonts w:ascii="Times New Roman" w:cs="Times New Roman" w:eastAsia="Times New Roman" w:hAnsi="Times New Roman"/>
          <w:sz w:val="20"/>
          <w:szCs w:val="20"/>
          <w:color w:val="auto"/>
        </w:rPr>
        <w:t>By:</w:t>
        <w:tab/>
        <w:t>/s/ Ellen Lefever</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Name:Ellen Lefever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15887" TargetMode="External"/><Relationship Id="rId11" Type="http://schemas.openxmlformats.org/officeDocument/2006/relationships/hyperlink" Target="http://www.sec.gov/cgi-bin/browse-edgar?action=getcompany&amp;CIK=00020209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2026-03-18T15:08:10Z</dcterms:created>
  <dcterms:modified xsi:type="dcterms:W3CDTF">2026-03-18T15:08:10Z</dcterms:modified>
</cp:coreProperties>
</file>